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664" w:rsidRPr="00F636EE" w:rsidRDefault="00B50664" w:rsidP="00C01C49">
      <w:pPr>
        <w:jc w:val="center"/>
        <w:rPr>
          <w:rFonts w:cs="Calibri"/>
          <w:b/>
        </w:rPr>
      </w:pPr>
      <w:r w:rsidRPr="00F636EE">
        <w:rPr>
          <w:rFonts w:cs="Calibri"/>
          <w:b/>
        </w:rPr>
        <w:t xml:space="preserve">Comments of the Natural Resources Defense Council (NRDC) on Energy Efficiency Goals, Potential, and Targets </w:t>
      </w:r>
      <w:r w:rsidR="00D556E9">
        <w:rPr>
          <w:rFonts w:cs="Calibri"/>
          <w:b/>
        </w:rPr>
        <w:t xml:space="preserve">Study </w:t>
      </w:r>
      <w:r w:rsidR="00B907DF">
        <w:rPr>
          <w:rFonts w:cs="Calibri"/>
          <w:b/>
        </w:rPr>
        <w:t>Low Income Savings Potential</w:t>
      </w:r>
      <w:r w:rsidR="00D556E9">
        <w:rPr>
          <w:rFonts w:cs="Calibri"/>
          <w:b/>
        </w:rPr>
        <w:t xml:space="preserve"> Meeting</w:t>
      </w:r>
      <w:r w:rsidR="00B907DF">
        <w:rPr>
          <w:rFonts w:cs="Calibri"/>
          <w:b/>
        </w:rPr>
        <w:t xml:space="preserve"> (4/28</w:t>
      </w:r>
      <w:r w:rsidR="00D556E9">
        <w:rPr>
          <w:rFonts w:cs="Calibri"/>
          <w:b/>
        </w:rPr>
        <w:t>/2017)</w:t>
      </w:r>
    </w:p>
    <w:p w:rsidR="00B50664" w:rsidRPr="008F43C6" w:rsidRDefault="00AB18CA" w:rsidP="002F2CA1">
      <w:pPr>
        <w:spacing w:after="0"/>
        <w:jc w:val="center"/>
        <w:rPr>
          <w:rFonts w:cs="Calibri"/>
        </w:rPr>
      </w:pPr>
      <w:r>
        <w:rPr>
          <w:rFonts w:cs="Calibri"/>
        </w:rPr>
        <w:t>May</w:t>
      </w:r>
      <w:r w:rsidR="00D556E9">
        <w:rPr>
          <w:rFonts w:cs="Calibri"/>
        </w:rPr>
        <w:t xml:space="preserve"> </w:t>
      </w:r>
      <w:r>
        <w:rPr>
          <w:rFonts w:cs="Calibri"/>
        </w:rPr>
        <w:t>1</w:t>
      </w:r>
      <w:r w:rsidRPr="00AB18CA">
        <w:rPr>
          <w:rFonts w:cs="Calibri"/>
          <w:vertAlign w:val="superscript"/>
        </w:rPr>
        <w:t>st</w:t>
      </w:r>
      <w:r w:rsidR="00D556E9">
        <w:rPr>
          <w:rFonts w:cs="Calibri"/>
        </w:rPr>
        <w:t>, 2017</w:t>
      </w:r>
    </w:p>
    <w:p w:rsidR="00B50664" w:rsidRPr="008F43C6" w:rsidRDefault="00B50664" w:rsidP="002F2CA1">
      <w:pPr>
        <w:pBdr>
          <w:bottom w:val="single" w:sz="4" w:space="1" w:color="auto"/>
        </w:pBdr>
        <w:spacing w:after="0"/>
        <w:jc w:val="center"/>
        <w:rPr>
          <w:rFonts w:cs="Calibri"/>
        </w:rPr>
      </w:pPr>
      <w:r w:rsidRPr="008F43C6">
        <w:rPr>
          <w:rFonts w:cs="Calibri"/>
        </w:rPr>
        <w:t xml:space="preserve">Submitted by: </w:t>
      </w:r>
      <w:r w:rsidR="00D556E9">
        <w:rPr>
          <w:rFonts w:cs="Calibri"/>
        </w:rPr>
        <w:t>Mohit Chhabra, Natural Resources Defense Council</w:t>
      </w:r>
    </w:p>
    <w:p w:rsidR="00B50664" w:rsidRPr="008F43C6" w:rsidRDefault="00D556E9" w:rsidP="002F2CA1">
      <w:pPr>
        <w:pBdr>
          <w:bottom w:val="single" w:sz="4" w:space="1" w:color="auto"/>
        </w:pBdr>
        <w:spacing w:after="0"/>
        <w:jc w:val="center"/>
        <w:rPr>
          <w:rFonts w:cs="Calibri"/>
        </w:rPr>
      </w:pPr>
      <w:r>
        <w:rPr>
          <w:rFonts w:cs="Calibri"/>
        </w:rPr>
        <w:t>mchhabra</w:t>
      </w:r>
      <w:r w:rsidR="00B50664" w:rsidRPr="008F43C6">
        <w:rPr>
          <w:rFonts w:cs="Calibri"/>
        </w:rPr>
        <w:t>@nrdc.org</w:t>
      </w:r>
    </w:p>
    <w:p w:rsidR="00933E18" w:rsidRPr="00933E18" w:rsidRDefault="00933E18" w:rsidP="00933E18">
      <w:pPr>
        <w:autoSpaceDE w:val="0"/>
        <w:autoSpaceDN w:val="0"/>
        <w:adjustRightInd w:val="0"/>
        <w:spacing w:before="120" w:after="0" w:line="240" w:lineRule="auto"/>
        <w:ind w:left="-360"/>
        <w:rPr>
          <w:rFonts w:cs="Calibri"/>
          <w:sz w:val="12"/>
          <w:szCs w:val="12"/>
        </w:rPr>
      </w:pPr>
    </w:p>
    <w:p w:rsidR="00D12CB0" w:rsidRPr="00D12CB0" w:rsidRDefault="00D12CB0" w:rsidP="00D12CB0">
      <w:pPr>
        <w:autoSpaceDE w:val="0"/>
        <w:autoSpaceDN w:val="0"/>
        <w:adjustRightInd w:val="0"/>
        <w:spacing w:before="120" w:after="0" w:line="240" w:lineRule="auto"/>
        <w:rPr>
          <w:rFonts w:cs="Calibri"/>
        </w:rPr>
      </w:pPr>
      <w:r w:rsidRPr="00D12CB0">
        <w:rPr>
          <w:rFonts w:cs="Calibri"/>
        </w:rPr>
        <w:t>The Natural Resources Defens</w:t>
      </w:r>
      <w:r w:rsidR="00310685">
        <w:rPr>
          <w:rFonts w:cs="Calibri"/>
        </w:rPr>
        <w:t>e Council (NRDC) appreciates this</w:t>
      </w:r>
      <w:r w:rsidRPr="00D12CB0">
        <w:rPr>
          <w:rFonts w:cs="Calibri"/>
        </w:rPr>
        <w:t xml:space="preserve"> opportunity to offer these comments on the California Public Utilities Commission’s (</w:t>
      </w:r>
      <w:r w:rsidRPr="00AB2EDD">
        <w:rPr>
          <w:rFonts w:cs="Calibri"/>
        </w:rPr>
        <w:t xml:space="preserve">CPUC) energy efficiency goals, potential, and targets draft </w:t>
      </w:r>
      <w:r w:rsidR="00AB2EDD" w:rsidRPr="00AB2EDD">
        <w:rPr>
          <w:rFonts w:cs="Calibri"/>
        </w:rPr>
        <w:t>methodology for the Low Income (LI) sector</w:t>
      </w:r>
      <w:r w:rsidRPr="00AB2EDD">
        <w:rPr>
          <w:rFonts w:cs="Calibri"/>
        </w:rPr>
        <w:t xml:space="preserve"> prepared by Navigant. NRDC is a non-profit membership organization with a long-standing interest in</w:t>
      </w:r>
      <w:r w:rsidRPr="00D12CB0">
        <w:rPr>
          <w:rFonts w:cs="Calibri"/>
        </w:rPr>
        <w:t xml:space="preserve"> minimizing the societal costs of the reliable energy services that Californians demand. We focus on representing our approximately 80,000 California members’ interest in receiving affordable energy services and reducing the environmental impact of California’s energy consumption.</w:t>
      </w:r>
    </w:p>
    <w:p w:rsidR="00D12CB0" w:rsidRPr="00D12CB0" w:rsidRDefault="00D12CB0" w:rsidP="00D12CB0">
      <w:pPr>
        <w:autoSpaceDE w:val="0"/>
        <w:autoSpaceDN w:val="0"/>
        <w:adjustRightInd w:val="0"/>
        <w:spacing w:before="80" w:after="80"/>
        <w:rPr>
          <w:rFonts w:cs="Calibri"/>
        </w:rPr>
      </w:pPr>
      <w:r w:rsidRPr="00D12CB0">
        <w:rPr>
          <w:rFonts w:cs="Calibri"/>
        </w:rPr>
        <w:t xml:space="preserve">NRDC appreciates the work done by all involved in developing this </w:t>
      </w:r>
      <w:r>
        <w:rPr>
          <w:rFonts w:cs="Calibri"/>
        </w:rPr>
        <w:t>methodology</w:t>
      </w:r>
      <w:r w:rsidRPr="00D12CB0">
        <w:rPr>
          <w:rFonts w:cs="Calibri"/>
        </w:rPr>
        <w:t xml:space="preserve"> and recognize the constraints of this study. We offer the following actionable feedback and comments to improve the accuracy of the study:</w:t>
      </w:r>
    </w:p>
    <w:p w:rsidR="00B50664" w:rsidRPr="00B34C34" w:rsidRDefault="00B907DF" w:rsidP="00933E18">
      <w:pPr>
        <w:pStyle w:val="ListParagraph"/>
        <w:numPr>
          <w:ilvl w:val="0"/>
          <w:numId w:val="4"/>
        </w:numPr>
        <w:autoSpaceDE w:val="0"/>
        <w:autoSpaceDN w:val="0"/>
        <w:adjustRightInd w:val="0"/>
        <w:spacing w:before="120" w:after="120"/>
        <w:contextualSpacing w:val="0"/>
        <w:rPr>
          <w:rFonts w:cs="Calibri"/>
          <w:b/>
        </w:rPr>
      </w:pPr>
      <w:r>
        <w:rPr>
          <w:rFonts w:cs="Calibri"/>
          <w:b/>
        </w:rPr>
        <w:t xml:space="preserve">The Study </w:t>
      </w:r>
      <w:r w:rsidR="00FB29E7">
        <w:rPr>
          <w:rFonts w:cs="Calibri"/>
          <w:b/>
        </w:rPr>
        <w:t xml:space="preserve">Currently </w:t>
      </w:r>
      <w:r>
        <w:rPr>
          <w:rFonts w:cs="Calibri"/>
          <w:b/>
        </w:rPr>
        <w:t>Calculate</w:t>
      </w:r>
      <w:r w:rsidR="00FB29E7">
        <w:rPr>
          <w:rFonts w:cs="Calibri"/>
          <w:b/>
        </w:rPr>
        <w:t>s</w:t>
      </w:r>
      <w:r>
        <w:rPr>
          <w:rFonts w:cs="Calibri"/>
          <w:b/>
        </w:rPr>
        <w:t xml:space="preserve"> IOU Planned Potential Savings, Not Achievable</w:t>
      </w:r>
      <w:r w:rsidR="00A87D5C">
        <w:rPr>
          <w:rFonts w:cs="Calibri"/>
          <w:b/>
        </w:rPr>
        <w:t>/ Market</w:t>
      </w:r>
      <w:r>
        <w:rPr>
          <w:rFonts w:cs="Calibri"/>
          <w:b/>
        </w:rPr>
        <w:t xml:space="preserve"> Potential Savings</w:t>
      </w:r>
      <w:r w:rsidR="007A37DD">
        <w:rPr>
          <w:rFonts w:cs="Calibri"/>
        </w:rPr>
        <w:t xml:space="preserve">: </w:t>
      </w:r>
      <w:r w:rsidR="00310685">
        <w:rPr>
          <w:rFonts w:cs="Calibri"/>
        </w:rPr>
        <w:t xml:space="preserve">The </w:t>
      </w:r>
      <w:r w:rsidR="00DB684D">
        <w:rPr>
          <w:rFonts w:cs="Calibri"/>
        </w:rPr>
        <w:t xml:space="preserve">LI Market </w:t>
      </w:r>
      <w:r w:rsidR="00310685">
        <w:rPr>
          <w:rFonts w:cs="Calibri"/>
        </w:rPr>
        <w:t xml:space="preserve">savings potential is currently calculated by multiplying </w:t>
      </w:r>
      <w:r w:rsidR="00A87D5C">
        <w:rPr>
          <w:rFonts w:cs="Calibri"/>
        </w:rPr>
        <w:t xml:space="preserve">(1) </w:t>
      </w:r>
      <w:r w:rsidR="00310685">
        <w:rPr>
          <w:rFonts w:cs="Calibri"/>
        </w:rPr>
        <w:t xml:space="preserve">IOU planned per household energy savings estimates by </w:t>
      </w:r>
      <w:r w:rsidR="00A87D5C">
        <w:rPr>
          <w:rFonts w:cs="Calibri"/>
        </w:rPr>
        <w:t xml:space="preserve">(2) </w:t>
      </w:r>
      <w:r w:rsidR="00310685">
        <w:rPr>
          <w:rFonts w:cs="Calibri"/>
        </w:rPr>
        <w:t xml:space="preserve">IOU planned LI households to be treated (and re-treated) </w:t>
      </w:r>
      <w:r w:rsidR="00A87D5C">
        <w:rPr>
          <w:rFonts w:cs="Calibri"/>
        </w:rPr>
        <w:t xml:space="preserve">for </w:t>
      </w:r>
      <w:r w:rsidR="00310685">
        <w:rPr>
          <w:rFonts w:cs="Calibri"/>
        </w:rPr>
        <w:t xml:space="preserve">each year </w:t>
      </w:r>
      <w:r w:rsidR="00A87D5C">
        <w:rPr>
          <w:rFonts w:cs="Calibri"/>
        </w:rPr>
        <w:t>of the forecast</w:t>
      </w:r>
      <w:r w:rsidR="00310685">
        <w:rPr>
          <w:rFonts w:cs="Calibri"/>
        </w:rPr>
        <w:t xml:space="preserve">. </w:t>
      </w:r>
      <w:r w:rsidR="00A87D5C">
        <w:rPr>
          <w:rFonts w:cs="Calibri"/>
        </w:rPr>
        <w:t>These data are provided to the Navigant team by the IOUs themselves. Thus, t</w:t>
      </w:r>
      <w:r w:rsidR="00DB684D">
        <w:rPr>
          <w:rFonts w:cs="Calibri"/>
        </w:rPr>
        <w:t>he</w:t>
      </w:r>
      <w:r w:rsidR="00310685">
        <w:rPr>
          <w:rFonts w:cs="Calibri"/>
        </w:rPr>
        <w:t>s</w:t>
      </w:r>
      <w:r w:rsidR="00DB684D">
        <w:rPr>
          <w:rFonts w:cs="Calibri"/>
        </w:rPr>
        <w:t>e</w:t>
      </w:r>
      <w:r w:rsidR="00310685">
        <w:rPr>
          <w:rFonts w:cs="Calibri"/>
        </w:rPr>
        <w:t xml:space="preserve"> savings estimate should be accurately labeled as “IOU Planned Savings Potential” and not “Market Potential” or “Achievable Potential”. Market potential currently estimated by the </w:t>
      </w:r>
      <w:r w:rsidR="00A87D5C">
        <w:rPr>
          <w:rFonts w:cs="Calibri"/>
        </w:rPr>
        <w:t xml:space="preserve">Potential </w:t>
      </w:r>
      <w:r w:rsidR="00310685">
        <w:rPr>
          <w:rFonts w:cs="Calibri"/>
        </w:rPr>
        <w:t xml:space="preserve">study </w:t>
      </w:r>
      <w:r w:rsidR="00A87D5C">
        <w:rPr>
          <w:rFonts w:cs="Calibri"/>
        </w:rPr>
        <w:t xml:space="preserve">for non-LI sectors </w:t>
      </w:r>
      <w:r w:rsidR="00310685">
        <w:rPr>
          <w:rFonts w:cs="Calibri"/>
        </w:rPr>
        <w:t>involves a rigorous technical process</w:t>
      </w:r>
      <w:r w:rsidR="00A87D5C">
        <w:rPr>
          <w:rFonts w:cs="Calibri"/>
        </w:rPr>
        <w:t xml:space="preserve"> to estimate per unit energy savings; this is followed by a </w:t>
      </w:r>
      <w:r w:rsidR="00310685">
        <w:rPr>
          <w:rFonts w:cs="Calibri"/>
        </w:rPr>
        <w:t xml:space="preserve">complex market adoption modeling </w:t>
      </w:r>
      <w:r w:rsidR="00A87D5C">
        <w:rPr>
          <w:rFonts w:cs="Calibri"/>
        </w:rPr>
        <w:t>process</w:t>
      </w:r>
      <w:r w:rsidR="00310685">
        <w:rPr>
          <w:rFonts w:cs="Calibri"/>
        </w:rPr>
        <w:t xml:space="preserve">. Labeling LI IOU Planned Potential </w:t>
      </w:r>
      <w:r w:rsidR="00A87D5C">
        <w:rPr>
          <w:rFonts w:cs="Calibri"/>
        </w:rPr>
        <w:t xml:space="preserve">energy savings </w:t>
      </w:r>
      <w:r w:rsidR="00310685">
        <w:rPr>
          <w:rFonts w:cs="Calibri"/>
        </w:rPr>
        <w:t xml:space="preserve">as Market Potential </w:t>
      </w:r>
      <w:r w:rsidR="00A87D5C">
        <w:rPr>
          <w:rFonts w:cs="Calibri"/>
        </w:rPr>
        <w:t xml:space="preserve">misrepresents the LI savings estimate </w:t>
      </w:r>
      <w:r w:rsidR="00310685">
        <w:rPr>
          <w:rFonts w:cs="Calibri"/>
        </w:rPr>
        <w:t xml:space="preserve">and </w:t>
      </w:r>
      <w:r w:rsidR="00A87D5C">
        <w:rPr>
          <w:rFonts w:cs="Calibri"/>
        </w:rPr>
        <w:t xml:space="preserve">may </w:t>
      </w:r>
      <w:r w:rsidR="00310685">
        <w:rPr>
          <w:rFonts w:cs="Calibri"/>
        </w:rPr>
        <w:t>lead to inaccurate interpretation of this study</w:t>
      </w:r>
      <w:r w:rsidR="00A87D5C">
        <w:rPr>
          <w:rFonts w:cs="Calibri"/>
        </w:rPr>
        <w:t xml:space="preserve"> and of Navigant’s Potential model</w:t>
      </w:r>
      <w:r w:rsidR="00310685">
        <w:rPr>
          <w:rFonts w:cs="Calibri"/>
        </w:rPr>
        <w:t>.</w:t>
      </w:r>
    </w:p>
    <w:p w:rsidR="00B826AA" w:rsidRPr="005D3E20" w:rsidRDefault="00B907DF" w:rsidP="00B907DF">
      <w:pPr>
        <w:pStyle w:val="ListParagraph"/>
        <w:numPr>
          <w:ilvl w:val="0"/>
          <w:numId w:val="4"/>
        </w:numPr>
        <w:autoSpaceDE w:val="0"/>
        <w:autoSpaceDN w:val="0"/>
        <w:adjustRightInd w:val="0"/>
        <w:spacing w:before="120" w:after="120"/>
        <w:contextualSpacing w:val="0"/>
        <w:rPr>
          <w:rFonts w:cs="Calibri"/>
          <w:b/>
        </w:rPr>
      </w:pPr>
      <w:r w:rsidRPr="005D3E20">
        <w:rPr>
          <w:rFonts w:cs="Calibri"/>
          <w:b/>
        </w:rPr>
        <w:t>Treatment and Retreatment UES should be presented separately to avoid confusion:</w:t>
      </w:r>
      <w:r w:rsidR="00C12A85" w:rsidRPr="005D3E20">
        <w:rPr>
          <w:rFonts w:cs="Calibri"/>
          <w:b/>
        </w:rPr>
        <w:t xml:space="preserve"> </w:t>
      </w:r>
      <w:r w:rsidR="009211E0" w:rsidRPr="005D3E20">
        <w:rPr>
          <w:rFonts w:cs="Calibri"/>
        </w:rPr>
        <w:t xml:space="preserve">In the Navigant presentation (Slide 15), 2015 and 2018 unit energy savings (UES) were compared to conclude that UES have increased and decreased across utilities compared to the 2015 model. The UES for 2018 is a weighted average of treatment UES </w:t>
      </w:r>
      <w:r w:rsidR="00DB684D">
        <w:rPr>
          <w:rFonts w:cs="Calibri"/>
        </w:rPr>
        <w:t xml:space="preserve">per home </w:t>
      </w:r>
      <w:r w:rsidR="009211E0" w:rsidRPr="005D3E20">
        <w:rPr>
          <w:rFonts w:cs="Calibri"/>
        </w:rPr>
        <w:t>and re-treatment UES</w:t>
      </w:r>
      <w:r w:rsidR="00DB684D">
        <w:rPr>
          <w:rFonts w:cs="Calibri"/>
        </w:rPr>
        <w:t xml:space="preserve"> per home</w:t>
      </w:r>
      <w:r w:rsidR="005D3E20">
        <w:rPr>
          <w:rFonts w:cs="Calibri"/>
        </w:rPr>
        <w:t>; these treatment and re-treatment</w:t>
      </w:r>
      <w:r w:rsidR="00DB684D">
        <w:rPr>
          <w:rFonts w:cs="Calibri"/>
        </w:rPr>
        <w:t xml:space="preserve"> per home</w:t>
      </w:r>
      <w:r w:rsidR="005D3E20">
        <w:rPr>
          <w:rFonts w:cs="Calibri"/>
        </w:rPr>
        <w:t xml:space="preserve"> UES comprise of different set of individual measures</w:t>
      </w:r>
      <w:r w:rsidR="009211E0" w:rsidRPr="005D3E20">
        <w:rPr>
          <w:rFonts w:cs="Calibri"/>
        </w:rPr>
        <w:t xml:space="preserve">. </w:t>
      </w:r>
      <w:r w:rsidR="005D3E20">
        <w:rPr>
          <w:rFonts w:cs="Calibri"/>
        </w:rPr>
        <w:t xml:space="preserve">Moreover, these lists of measures in </w:t>
      </w:r>
      <w:r w:rsidR="00DB684D">
        <w:rPr>
          <w:rFonts w:cs="Calibri"/>
        </w:rPr>
        <w:t xml:space="preserve">the </w:t>
      </w:r>
      <w:r w:rsidR="005D3E20">
        <w:rPr>
          <w:rFonts w:cs="Calibri"/>
        </w:rPr>
        <w:t xml:space="preserve">treatment and re-treatment UES </w:t>
      </w:r>
      <w:r w:rsidR="00DB684D">
        <w:rPr>
          <w:rFonts w:cs="Calibri"/>
        </w:rPr>
        <w:t>are</w:t>
      </w:r>
      <w:r w:rsidR="005D3E20">
        <w:rPr>
          <w:rFonts w:cs="Calibri"/>
        </w:rPr>
        <w:t xml:space="preserve"> different from the list of measures </w:t>
      </w:r>
      <w:r w:rsidR="00DB684D">
        <w:rPr>
          <w:rFonts w:cs="Calibri"/>
        </w:rPr>
        <w:t>that made up</w:t>
      </w:r>
      <w:r w:rsidR="005D3E20">
        <w:rPr>
          <w:rFonts w:cs="Calibri"/>
        </w:rPr>
        <w:t xml:space="preserve"> the LI </w:t>
      </w:r>
      <w:r w:rsidR="00DB684D">
        <w:rPr>
          <w:rFonts w:cs="Calibri"/>
        </w:rPr>
        <w:t xml:space="preserve">per home </w:t>
      </w:r>
      <w:r w:rsidR="005D3E20">
        <w:rPr>
          <w:rFonts w:cs="Calibri"/>
        </w:rPr>
        <w:t xml:space="preserve">UES in the 2015 study. </w:t>
      </w:r>
      <w:r w:rsidR="004D5732">
        <w:rPr>
          <w:rFonts w:cs="Calibri"/>
        </w:rPr>
        <w:t>Finally, each utility has different forecast</w:t>
      </w:r>
      <w:r w:rsidR="00DB684D">
        <w:rPr>
          <w:rFonts w:cs="Calibri"/>
        </w:rPr>
        <w:t>s</w:t>
      </w:r>
      <w:r w:rsidR="004D5732">
        <w:rPr>
          <w:rFonts w:cs="Calibri"/>
        </w:rPr>
        <w:t xml:space="preserve"> for treatment and re-treatment homes, which </w:t>
      </w:r>
      <w:r w:rsidR="00DB684D">
        <w:rPr>
          <w:rFonts w:cs="Calibri"/>
        </w:rPr>
        <w:t xml:space="preserve">in turn </w:t>
      </w:r>
      <w:r w:rsidR="004D5732">
        <w:rPr>
          <w:rFonts w:cs="Calibri"/>
        </w:rPr>
        <w:t xml:space="preserve">impacts the weighted average per home UES for the 2018 study. </w:t>
      </w:r>
      <w:r w:rsidR="005D3E20">
        <w:rPr>
          <w:rFonts w:cs="Calibri"/>
        </w:rPr>
        <w:t>Thus</w:t>
      </w:r>
      <w:r w:rsidR="004D5732">
        <w:rPr>
          <w:rFonts w:cs="Calibri"/>
        </w:rPr>
        <w:t>,</w:t>
      </w:r>
      <w:r w:rsidR="005D3E20">
        <w:rPr>
          <w:rFonts w:cs="Calibri"/>
        </w:rPr>
        <w:t xml:space="preserve"> a straight comparison of weighted 2018 treatment and re-treatment per home UES with </w:t>
      </w:r>
      <w:r w:rsidR="004D5732">
        <w:rPr>
          <w:rFonts w:cs="Calibri"/>
        </w:rPr>
        <w:t xml:space="preserve">the </w:t>
      </w:r>
      <w:r w:rsidR="005D3E20">
        <w:rPr>
          <w:rFonts w:cs="Calibri"/>
        </w:rPr>
        <w:t>2015 study</w:t>
      </w:r>
      <w:r w:rsidR="004D5732">
        <w:rPr>
          <w:rFonts w:cs="Calibri"/>
        </w:rPr>
        <w:t>’s</w:t>
      </w:r>
      <w:r w:rsidR="005D3E20">
        <w:rPr>
          <w:rFonts w:cs="Calibri"/>
        </w:rPr>
        <w:t xml:space="preserve"> per home UES should not be conducted (to avoid con</w:t>
      </w:r>
      <w:r w:rsidR="004D5732">
        <w:rPr>
          <w:rFonts w:cs="Calibri"/>
        </w:rPr>
        <w:t>fusion). These per home UES numbers should be presented separately along with the list of measures that inform them.</w:t>
      </w:r>
    </w:p>
    <w:p w:rsidR="00D12CB0" w:rsidRPr="00C12A85" w:rsidRDefault="00B251C6" w:rsidP="00D12CB0">
      <w:pPr>
        <w:pStyle w:val="ListParagraph"/>
        <w:numPr>
          <w:ilvl w:val="0"/>
          <w:numId w:val="4"/>
        </w:numPr>
        <w:autoSpaceDE w:val="0"/>
        <w:autoSpaceDN w:val="0"/>
        <w:adjustRightInd w:val="0"/>
        <w:spacing w:before="120" w:after="120"/>
        <w:contextualSpacing w:val="0"/>
        <w:rPr>
          <w:rFonts w:cs="Calibri"/>
          <w:b/>
        </w:rPr>
      </w:pPr>
      <w:r>
        <w:rPr>
          <w:rFonts w:cs="Calibri"/>
          <w:b/>
        </w:rPr>
        <w:t>The Next Potential Study</w:t>
      </w:r>
      <w:r w:rsidR="00B907DF">
        <w:rPr>
          <w:rFonts w:cs="Calibri"/>
          <w:b/>
        </w:rPr>
        <w:t xml:space="preserve"> Should Explore </w:t>
      </w:r>
      <w:r>
        <w:rPr>
          <w:rFonts w:cs="Calibri"/>
          <w:b/>
        </w:rPr>
        <w:t xml:space="preserve">LI </w:t>
      </w:r>
      <w:r w:rsidR="00B907DF">
        <w:rPr>
          <w:rFonts w:cs="Calibri"/>
          <w:b/>
        </w:rPr>
        <w:t>Technical and Economic Potential</w:t>
      </w:r>
      <w:r w:rsidR="00B826AA">
        <w:rPr>
          <w:rFonts w:cs="Calibri"/>
        </w:rPr>
        <w:t xml:space="preserve">: </w:t>
      </w:r>
      <w:r w:rsidR="000804C6">
        <w:rPr>
          <w:rFonts w:cs="Calibri"/>
        </w:rPr>
        <w:t>Technical and Economic potential</w:t>
      </w:r>
      <w:r w:rsidR="004D5732">
        <w:rPr>
          <w:rFonts w:cs="Calibri"/>
        </w:rPr>
        <w:t xml:space="preserve"> are </w:t>
      </w:r>
      <w:r>
        <w:rPr>
          <w:rFonts w:cs="Calibri"/>
        </w:rPr>
        <w:t xml:space="preserve">not </w:t>
      </w:r>
      <w:r w:rsidR="004D5732">
        <w:rPr>
          <w:rFonts w:cs="Calibri"/>
        </w:rPr>
        <w:t xml:space="preserve">currently calculated for the LI sector. Without these </w:t>
      </w:r>
      <w:r>
        <w:rPr>
          <w:rFonts w:cs="Calibri"/>
        </w:rPr>
        <w:t xml:space="preserve">potential savings </w:t>
      </w:r>
      <w:r w:rsidR="004D5732">
        <w:rPr>
          <w:rFonts w:cs="Calibri"/>
        </w:rPr>
        <w:t xml:space="preserve">estimates, it is impossible to understand whether the IOU Planned Potential Savings estimates </w:t>
      </w:r>
      <w:r w:rsidR="004D5732">
        <w:rPr>
          <w:rFonts w:cs="Calibri"/>
        </w:rPr>
        <w:lastRenderedPageBreak/>
        <w:t xml:space="preserve">(a.k.a. LI market potential in the 2015 study) are a reasonable fraction of the total available </w:t>
      </w:r>
      <w:r>
        <w:rPr>
          <w:rFonts w:cs="Calibri"/>
        </w:rPr>
        <w:t xml:space="preserve">and feasible </w:t>
      </w:r>
      <w:r w:rsidR="004D5732">
        <w:rPr>
          <w:rFonts w:cs="Calibri"/>
        </w:rPr>
        <w:t xml:space="preserve">energy savings in the LI sector. Data </w:t>
      </w:r>
      <w:r w:rsidR="00B02149">
        <w:rPr>
          <w:rFonts w:cs="Calibri"/>
        </w:rPr>
        <w:t xml:space="preserve">required </w:t>
      </w:r>
      <w:r w:rsidR="004D5732">
        <w:rPr>
          <w:rFonts w:cs="Calibri"/>
        </w:rPr>
        <w:t xml:space="preserve">to conduct this analysis </w:t>
      </w:r>
      <w:r w:rsidR="00B02149">
        <w:rPr>
          <w:rFonts w:cs="Calibri"/>
        </w:rPr>
        <w:t>are</w:t>
      </w:r>
      <w:r w:rsidR="004D5732">
        <w:rPr>
          <w:rFonts w:cs="Calibri"/>
        </w:rPr>
        <w:t xml:space="preserve"> available (discussed below)</w:t>
      </w:r>
      <w:r w:rsidR="00B02149">
        <w:rPr>
          <w:rFonts w:cs="Calibri"/>
        </w:rPr>
        <w:t xml:space="preserve">. </w:t>
      </w:r>
      <w:r w:rsidR="00B02149">
        <w:rPr>
          <w:rFonts w:cs="Calibri"/>
        </w:rPr>
        <w:t xml:space="preserve">Although </w:t>
      </w:r>
      <w:r>
        <w:rPr>
          <w:rFonts w:cs="Calibri"/>
        </w:rPr>
        <w:t xml:space="preserve">NRDC understands that </w:t>
      </w:r>
      <w:r w:rsidR="00B02149">
        <w:rPr>
          <w:rFonts w:cs="Calibri"/>
        </w:rPr>
        <w:t xml:space="preserve">this analysis may not be feasibly accomplished </w:t>
      </w:r>
      <w:r>
        <w:rPr>
          <w:rFonts w:cs="Calibri"/>
        </w:rPr>
        <w:t>due to</w:t>
      </w:r>
      <w:r w:rsidR="00B02149">
        <w:rPr>
          <w:rFonts w:cs="Calibri"/>
        </w:rPr>
        <w:t xml:space="preserve"> the current study</w:t>
      </w:r>
      <w:r w:rsidR="00B02149">
        <w:rPr>
          <w:rFonts w:cs="Calibri"/>
        </w:rPr>
        <w:t xml:space="preserve">’s </w:t>
      </w:r>
      <w:r>
        <w:rPr>
          <w:rFonts w:cs="Calibri"/>
        </w:rPr>
        <w:t xml:space="preserve">scope and </w:t>
      </w:r>
      <w:r w:rsidR="00B02149">
        <w:rPr>
          <w:rFonts w:cs="Calibri"/>
        </w:rPr>
        <w:t>timeline</w:t>
      </w:r>
      <w:r w:rsidR="00B02149">
        <w:rPr>
          <w:rFonts w:cs="Calibri"/>
        </w:rPr>
        <w:t xml:space="preserve">, NRDC strongly urges </w:t>
      </w:r>
      <w:r>
        <w:rPr>
          <w:rFonts w:cs="Calibri"/>
        </w:rPr>
        <w:t xml:space="preserve">the CPUC to consider including this analysis </w:t>
      </w:r>
      <w:r w:rsidR="00B02149">
        <w:rPr>
          <w:rFonts w:cs="Calibri"/>
        </w:rPr>
        <w:t xml:space="preserve">in </w:t>
      </w:r>
      <w:r>
        <w:rPr>
          <w:rFonts w:cs="Calibri"/>
        </w:rPr>
        <w:t xml:space="preserve">the scope of </w:t>
      </w:r>
      <w:r w:rsidR="00B02149">
        <w:rPr>
          <w:rFonts w:cs="Calibri"/>
        </w:rPr>
        <w:t xml:space="preserve">any future </w:t>
      </w:r>
      <w:r>
        <w:rPr>
          <w:rFonts w:cs="Calibri"/>
        </w:rPr>
        <w:t xml:space="preserve">Potential study </w:t>
      </w:r>
      <w:r w:rsidR="00B02149">
        <w:rPr>
          <w:rFonts w:cs="Calibri"/>
        </w:rPr>
        <w:t>update</w:t>
      </w:r>
      <w:r>
        <w:rPr>
          <w:rFonts w:cs="Calibri"/>
        </w:rPr>
        <w:t>s</w:t>
      </w:r>
      <w:r w:rsidR="00B02149">
        <w:rPr>
          <w:rFonts w:cs="Calibri"/>
        </w:rPr>
        <w:t>.</w:t>
      </w:r>
      <w:r w:rsidR="00B02149">
        <w:rPr>
          <w:rFonts w:cs="Calibri"/>
        </w:rPr>
        <w:t xml:space="preserve"> Funds allocated for low income potential in Decision</w:t>
      </w:r>
      <w:r w:rsidR="00B02149">
        <w:rPr>
          <w:rFonts w:cs="Calibri"/>
        </w:rPr>
        <w:t xml:space="preserve"> 16-11-022 should be utilized to conduct and complete this analysis as soon as pos</w:t>
      </w:r>
      <w:r>
        <w:rPr>
          <w:rFonts w:cs="Calibri"/>
        </w:rPr>
        <w:t>sible.</w:t>
      </w:r>
    </w:p>
    <w:p w:rsidR="00C12A85" w:rsidRPr="00B02149" w:rsidRDefault="00C12A85" w:rsidP="00B02149">
      <w:pPr>
        <w:pStyle w:val="ListParagraph"/>
        <w:numPr>
          <w:ilvl w:val="1"/>
          <w:numId w:val="4"/>
        </w:numPr>
        <w:autoSpaceDE w:val="0"/>
        <w:autoSpaceDN w:val="0"/>
        <w:adjustRightInd w:val="0"/>
        <w:spacing w:before="120" w:after="120"/>
        <w:contextualSpacing w:val="0"/>
        <w:rPr>
          <w:rFonts w:cs="Calibri"/>
          <w:b/>
        </w:rPr>
      </w:pPr>
      <w:r>
        <w:rPr>
          <w:rFonts w:cs="Calibri"/>
          <w:b/>
        </w:rPr>
        <w:t>Baseline RASS Measure Data Exist to Calculate Technical Potential</w:t>
      </w:r>
      <w:r>
        <w:rPr>
          <w:rFonts w:cs="Calibri"/>
        </w:rPr>
        <w:t xml:space="preserve">: </w:t>
      </w:r>
      <w:r w:rsidR="004D5732">
        <w:rPr>
          <w:rFonts w:cs="Calibri"/>
        </w:rPr>
        <w:t xml:space="preserve">Residential Appliance Saturation Survey data contain indicators of household income level. These indicators should be sufficient to develop baseline estimates of </w:t>
      </w:r>
      <w:r w:rsidR="004D5732">
        <w:rPr>
          <w:rFonts w:cs="Calibri"/>
        </w:rPr>
        <w:t>measure penetration</w:t>
      </w:r>
      <w:r w:rsidR="004D5732">
        <w:rPr>
          <w:rFonts w:cs="Calibri"/>
        </w:rPr>
        <w:t xml:space="preserve"> for the LI sector</w:t>
      </w:r>
      <w:r w:rsidR="00B251C6">
        <w:rPr>
          <w:rFonts w:cs="Calibri"/>
        </w:rPr>
        <w:t xml:space="preserve"> for the RASS vintage</w:t>
      </w:r>
      <w:r w:rsidR="004D5732">
        <w:rPr>
          <w:rFonts w:cs="Calibri"/>
        </w:rPr>
        <w:t xml:space="preserve">. </w:t>
      </w:r>
    </w:p>
    <w:p w:rsidR="00B02149" w:rsidRPr="00C12A85" w:rsidRDefault="00B02149" w:rsidP="00B02149">
      <w:pPr>
        <w:pStyle w:val="ListParagraph"/>
        <w:numPr>
          <w:ilvl w:val="1"/>
          <w:numId w:val="4"/>
        </w:numPr>
        <w:autoSpaceDE w:val="0"/>
        <w:autoSpaceDN w:val="0"/>
        <w:adjustRightInd w:val="0"/>
        <w:spacing w:before="120" w:after="120"/>
        <w:contextualSpacing w:val="0"/>
        <w:rPr>
          <w:rFonts w:cs="Calibri"/>
          <w:b/>
        </w:rPr>
      </w:pPr>
      <w:r>
        <w:rPr>
          <w:rFonts w:cs="Calibri"/>
          <w:b/>
        </w:rPr>
        <w:t xml:space="preserve">Recent Program Accomplishments: </w:t>
      </w:r>
      <w:r>
        <w:rPr>
          <w:rFonts w:cs="Calibri"/>
        </w:rPr>
        <w:t>IOU filings and evaluation studies can be applied to understand how the RASS data should be modified to develop a more current estimate of baseline measure penetration.</w:t>
      </w:r>
      <w:bookmarkStart w:id="0" w:name="_GoBack"/>
      <w:bookmarkEnd w:id="0"/>
    </w:p>
    <w:p w:rsidR="00D12CB0" w:rsidRPr="00D12CB0" w:rsidRDefault="00D12CB0" w:rsidP="00D12CB0">
      <w:pPr>
        <w:autoSpaceDE w:val="0"/>
        <w:autoSpaceDN w:val="0"/>
        <w:adjustRightInd w:val="0"/>
        <w:spacing w:before="120" w:after="120"/>
        <w:rPr>
          <w:rFonts w:cs="Calibri"/>
          <w:b/>
        </w:rPr>
      </w:pPr>
    </w:p>
    <w:p w:rsidR="00B50664" w:rsidRDefault="00B50664" w:rsidP="00D12CB0">
      <w:pPr>
        <w:autoSpaceDE w:val="0"/>
        <w:autoSpaceDN w:val="0"/>
        <w:adjustRightInd w:val="0"/>
        <w:spacing w:before="120" w:after="80"/>
        <w:rPr>
          <w:rFonts w:cs="Calibri"/>
          <w:b/>
        </w:rPr>
      </w:pPr>
      <w:r w:rsidRPr="00D32F45">
        <w:rPr>
          <w:rFonts w:cs="Calibri"/>
          <w:b/>
        </w:rPr>
        <w:t>Conclusions</w:t>
      </w:r>
    </w:p>
    <w:p w:rsidR="00B50664" w:rsidRPr="008B5DB6" w:rsidRDefault="00D12CB0" w:rsidP="00D12CB0">
      <w:pPr>
        <w:autoSpaceDE w:val="0"/>
        <w:autoSpaceDN w:val="0"/>
        <w:adjustRightInd w:val="0"/>
        <w:spacing w:before="80" w:after="80"/>
        <w:rPr>
          <w:rFonts w:cs="Calibri"/>
        </w:rPr>
      </w:pPr>
      <w:r>
        <w:rPr>
          <w:rFonts w:cs="Calibri"/>
        </w:rPr>
        <w:t>We appreciate the opportunity to comment and thank the CPUC for c</w:t>
      </w:r>
      <w:r>
        <w:rPr>
          <w:rFonts w:cs="Calibri"/>
        </w:rPr>
        <w:t>onsidering our recommendations.</w:t>
      </w:r>
    </w:p>
    <w:sectPr w:rsidR="00B50664" w:rsidRPr="008B5DB6" w:rsidSect="00CD3362">
      <w:footerReference w:type="default" r:id="rId9"/>
      <w:pgSz w:w="12240" w:h="15840"/>
      <w:pgMar w:top="1224" w:right="1440" w:bottom="122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24E" w:rsidRDefault="0027324E" w:rsidP="00F4351F">
      <w:pPr>
        <w:spacing w:after="0" w:line="240" w:lineRule="auto"/>
      </w:pPr>
      <w:r>
        <w:separator/>
      </w:r>
    </w:p>
  </w:endnote>
  <w:endnote w:type="continuationSeparator" w:id="0">
    <w:p w:rsidR="0027324E" w:rsidRDefault="0027324E" w:rsidP="00F435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664" w:rsidRDefault="008B258D">
    <w:pPr>
      <w:pStyle w:val="Footer"/>
      <w:jc w:val="right"/>
    </w:pPr>
    <w:r>
      <w:fldChar w:fldCharType="begin"/>
    </w:r>
    <w:r>
      <w:instrText xml:space="preserve"> PAGE   \* MERGEFORMAT </w:instrText>
    </w:r>
    <w:r>
      <w:fldChar w:fldCharType="separate"/>
    </w:r>
    <w:r w:rsidR="00B251C6">
      <w:rPr>
        <w:noProof/>
      </w:rPr>
      <w:t>2</w:t>
    </w:r>
    <w:r>
      <w:rPr>
        <w:noProof/>
      </w:rPr>
      <w:fldChar w:fldCharType="end"/>
    </w:r>
  </w:p>
  <w:p w:rsidR="00B50664" w:rsidRDefault="00B506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24E" w:rsidRDefault="0027324E" w:rsidP="00F4351F">
      <w:pPr>
        <w:spacing w:after="0" w:line="240" w:lineRule="auto"/>
      </w:pPr>
      <w:r>
        <w:separator/>
      </w:r>
    </w:p>
  </w:footnote>
  <w:footnote w:type="continuationSeparator" w:id="0">
    <w:p w:rsidR="0027324E" w:rsidRDefault="0027324E" w:rsidP="00F435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36377"/>
    <w:multiLevelType w:val="hybridMultilevel"/>
    <w:tmpl w:val="35AC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A2282D"/>
    <w:multiLevelType w:val="hybridMultilevel"/>
    <w:tmpl w:val="043E1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907A25"/>
    <w:multiLevelType w:val="hybridMultilevel"/>
    <w:tmpl w:val="41920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FD033CF"/>
    <w:multiLevelType w:val="hybridMultilevel"/>
    <w:tmpl w:val="ACACAD7C"/>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CA1"/>
    <w:rsid w:val="000276DD"/>
    <w:rsid w:val="00032CC6"/>
    <w:rsid w:val="00035B13"/>
    <w:rsid w:val="00067830"/>
    <w:rsid w:val="000731E2"/>
    <w:rsid w:val="000804C6"/>
    <w:rsid w:val="00092A2A"/>
    <w:rsid w:val="000A3756"/>
    <w:rsid w:val="000B1C41"/>
    <w:rsid w:val="000C6A02"/>
    <w:rsid w:val="000D0075"/>
    <w:rsid w:val="000D4786"/>
    <w:rsid w:val="000E38DC"/>
    <w:rsid w:val="00104A6C"/>
    <w:rsid w:val="001070A6"/>
    <w:rsid w:val="00132AAD"/>
    <w:rsid w:val="001A2ABE"/>
    <w:rsid w:val="001B74D6"/>
    <w:rsid w:val="001F1DB4"/>
    <w:rsid w:val="002031CE"/>
    <w:rsid w:val="0024008E"/>
    <w:rsid w:val="00241E7A"/>
    <w:rsid w:val="0027324E"/>
    <w:rsid w:val="002B7DFE"/>
    <w:rsid w:val="002D3A1B"/>
    <w:rsid w:val="002E53ED"/>
    <w:rsid w:val="002F2CA1"/>
    <w:rsid w:val="002F546B"/>
    <w:rsid w:val="00310685"/>
    <w:rsid w:val="00317AB0"/>
    <w:rsid w:val="00350ED3"/>
    <w:rsid w:val="00351E70"/>
    <w:rsid w:val="003722D3"/>
    <w:rsid w:val="003B129A"/>
    <w:rsid w:val="003D2FB4"/>
    <w:rsid w:val="003F019C"/>
    <w:rsid w:val="004155DF"/>
    <w:rsid w:val="004216D0"/>
    <w:rsid w:val="004334C9"/>
    <w:rsid w:val="00440CCE"/>
    <w:rsid w:val="0045146F"/>
    <w:rsid w:val="0046192E"/>
    <w:rsid w:val="004677E0"/>
    <w:rsid w:val="00473968"/>
    <w:rsid w:val="004935EF"/>
    <w:rsid w:val="004A3998"/>
    <w:rsid w:val="004B2FF9"/>
    <w:rsid w:val="004B6BBB"/>
    <w:rsid w:val="004D5732"/>
    <w:rsid w:val="005558FE"/>
    <w:rsid w:val="00583887"/>
    <w:rsid w:val="005D1E72"/>
    <w:rsid w:val="005D3E20"/>
    <w:rsid w:val="005D5194"/>
    <w:rsid w:val="005D78E7"/>
    <w:rsid w:val="00613224"/>
    <w:rsid w:val="00643F8C"/>
    <w:rsid w:val="00674D88"/>
    <w:rsid w:val="00686B32"/>
    <w:rsid w:val="00687AA8"/>
    <w:rsid w:val="006A7616"/>
    <w:rsid w:val="006B29D7"/>
    <w:rsid w:val="006C69BB"/>
    <w:rsid w:val="007177A3"/>
    <w:rsid w:val="00733813"/>
    <w:rsid w:val="00744250"/>
    <w:rsid w:val="00745114"/>
    <w:rsid w:val="00751CC6"/>
    <w:rsid w:val="00757022"/>
    <w:rsid w:val="00761E79"/>
    <w:rsid w:val="00782F9B"/>
    <w:rsid w:val="007845E7"/>
    <w:rsid w:val="007952FF"/>
    <w:rsid w:val="00795525"/>
    <w:rsid w:val="007A37DD"/>
    <w:rsid w:val="007F5D47"/>
    <w:rsid w:val="00802CE8"/>
    <w:rsid w:val="0080477A"/>
    <w:rsid w:val="008049F0"/>
    <w:rsid w:val="008B258D"/>
    <w:rsid w:val="008B5DB6"/>
    <w:rsid w:val="008C0960"/>
    <w:rsid w:val="008C7013"/>
    <w:rsid w:val="008F24AC"/>
    <w:rsid w:val="008F43C6"/>
    <w:rsid w:val="008F470E"/>
    <w:rsid w:val="009211E0"/>
    <w:rsid w:val="00933E18"/>
    <w:rsid w:val="0093730B"/>
    <w:rsid w:val="0094667D"/>
    <w:rsid w:val="009564EB"/>
    <w:rsid w:val="00956A3D"/>
    <w:rsid w:val="00965993"/>
    <w:rsid w:val="00973869"/>
    <w:rsid w:val="00974980"/>
    <w:rsid w:val="00983AC5"/>
    <w:rsid w:val="009E0F2A"/>
    <w:rsid w:val="009E52B7"/>
    <w:rsid w:val="009E684E"/>
    <w:rsid w:val="009F007A"/>
    <w:rsid w:val="00A1790B"/>
    <w:rsid w:val="00A44DA6"/>
    <w:rsid w:val="00A44F6E"/>
    <w:rsid w:val="00A87D5C"/>
    <w:rsid w:val="00AB18CA"/>
    <w:rsid w:val="00AB2EDD"/>
    <w:rsid w:val="00AB6F4A"/>
    <w:rsid w:val="00AE425D"/>
    <w:rsid w:val="00B02149"/>
    <w:rsid w:val="00B02BA9"/>
    <w:rsid w:val="00B251C6"/>
    <w:rsid w:val="00B313F2"/>
    <w:rsid w:val="00B34C34"/>
    <w:rsid w:val="00B35C72"/>
    <w:rsid w:val="00B373F1"/>
    <w:rsid w:val="00B46477"/>
    <w:rsid w:val="00B467AF"/>
    <w:rsid w:val="00B50664"/>
    <w:rsid w:val="00B52DDC"/>
    <w:rsid w:val="00B826AA"/>
    <w:rsid w:val="00B87918"/>
    <w:rsid w:val="00B907DF"/>
    <w:rsid w:val="00B96608"/>
    <w:rsid w:val="00C01C49"/>
    <w:rsid w:val="00C0664E"/>
    <w:rsid w:val="00C12A85"/>
    <w:rsid w:val="00C14F51"/>
    <w:rsid w:val="00C40608"/>
    <w:rsid w:val="00C53649"/>
    <w:rsid w:val="00C676A4"/>
    <w:rsid w:val="00CA34C6"/>
    <w:rsid w:val="00CA5516"/>
    <w:rsid w:val="00CB0AA9"/>
    <w:rsid w:val="00CB17AE"/>
    <w:rsid w:val="00CB2910"/>
    <w:rsid w:val="00CD3362"/>
    <w:rsid w:val="00CF2BC1"/>
    <w:rsid w:val="00D12CB0"/>
    <w:rsid w:val="00D30232"/>
    <w:rsid w:val="00D32F45"/>
    <w:rsid w:val="00D556E9"/>
    <w:rsid w:val="00D803F5"/>
    <w:rsid w:val="00DB684D"/>
    <w:rsid w:val="00DC3D85"/>
    <w:rsid w:val="00DD4553"/>
    <w:rsid w:val="00DE686C"/>
    <w:rsid w:val="00DE7B5E"/>
    <w:rsid w:val="00E03E74"/>
    <w:rsid w:val="00E5366E"/>
    <w:rsid w:val="00E554E5"/>
    <w:rsid w:val="00E746BC"/>
    <w:rsid w:val="00E869E8"/>
    <w:rsid w:val="00EA10F0"/>
    <w:rsid w:val="00EA2D45"/>
    <w:rsid w:val="00EC598F"/>
    <w:rsid w:val="00EE29D3"/>
    <w:rsid w:val="00EE4380"/>
    <w:rsid w:val="00EE7690"/>
    <w:rsid w:val="00F045E6"/>
    <w:rsid w:val="00F06CD5"/>
    <w:rsid w:val="00F32E31"/>
    <w:rsid w:val="00F4351F"/>
    <w:rsid w:val="00F446DC"/>
    <w:rsid w:val="00F636C2"/>
    <w:rsid w:val="00F636EE"/>
    <w:rsid w:val="00F839C5"/>
    <w:rsid w:val="00F94BCA"/>
    <w:rsid w:val="00FA74F9"/>
    <w:rsid w:val="00FB0627"/>
    <w:rsid w:val="00FB29E7"/>
    <w:rsid w:val="00FE4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92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01C49"/>
    <w:pPr>
      <w:ind w:left="720"/>
      <w:contextualSpacing/>
    </w:pPr>
  </w:style>
  <w:style w:type="paragraph" w:styleId="FootnoteText">
    <w:name w:val="footnote text"/>
    <w:basedOn w:val="Normal"/>
    <w:link w:val="FootnoteTextChar"/>
    <w:uiPriority w:val="99"/>
    <w:semiHidden/>
    <w:rsid w:val="00F4351F"/>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F4351F"/>
    <w:rPr>
      <w:rFonts w:cs="Times New Roman"/>
      <w:sz w:val="20"/>
      <w:szCs w:val="20"/>
    </w:rPr>
  </w:style>
  <w:style w:type="character" w:styleId="FootnoteReference">
    <w:name w:val="footnote reference"/>
    <w:basedOn w:val="DefaultParagraphFont"/>
    <w:uiPriority w:val="99"/>
    <w:semiHidden/>
    <w:rsid w:val="00F4351F"/>
    <w:rPr>
      <w:rFonts w:cs="Times New Roman"/>
      <w:vertAlign w:val="superscript"/>
    </w:rPr>
  </w:style>
  <w:style w:type="character" w:styleId="Hyperlink">
    <w:name w:val="Hyperlink"/>
    <w:basedOn w:val="DefaultParagraphFont"/>
    <w:uiPriority w:val="99"/>
    <w:rsid w:val="00F4351F"/>
    <w:rPr>
      <w:rFonts w:cs="Times New Roman"/>
      <w:color w:val="0000FF"/>
      <w:u w:val="single"/>
    </w:rPr>
  </w:style>
  <w:style w:type="paragraph" w:styleId="BalloonText">
    <w:name w:val="Balloon Text"/>
    <w:basedOn w:val="Normal"/>
    <w:link w:val="BalloonTextChar"/>
    <w:uiPriority w:val="99"/>
    <w:semiHidden/>
    <w:rsid w:val="00A44D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44DA6"/>
    <w:rPr>
      <w:rFonts w:ascii="Tahoma" w:hAnsi="Tahoma" w:cs="Tahoma"/>
      <w:sz w:val="16"/>
      <w:szCs w:val="16"/>
    </w:rPr>
  </w:style>
  <w:style w:type="paragraph" w:styleId="Header">
    <w:name w:val="header"/>
    <w:basedOn w:val="Normal"/>
    <w:link w:val="HeaderChar"/>
    <w:uiPriority w:val="99"/>
    <w:semiHidden/>
    <w:rsid w:val="004935E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4935EF"/>
    <w:rPr>
      <w:rFonts w:cs="Times New Roman"/>
    </w:rPr>
  </w:style>
  <w:style w:type="paragraph" w:styleId="Footer">
    <w:name w:val="footer"/>
    <w:basedOn w:val="Normal"/>
    <w:link w:val="FooterChar"/>
    <w:uiPriority w:val="99"/>
    <w:rsid w:val="004935E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4935EF"/>
    <w:rPr>
      <w:rFonts w:cs="Times New Roman"/>
    </w:rPr>
  </w:style>
  <w:style w:type="character" w:styleId="CommentReference">
    <w:name w:val="annotation reference"/>
    <w:basedOn w:val="DefaultParagraphFont"/>
    <w:uiPriority w:val="99"/>
    <w:semiHidden/>
    <w:rsid w:val="004935EF"/>
    <w:rPr>
      <w:rFonts w:cs="Times New Roman"/>
      <w:sz w:val="16"/>
      <w:szCs w:val="16"/>
    </w:rPr>
  </w:style>
  <w:style w:type="paragraph" w:styleId="CommentText">
    <w:name w:val="annotation text"/>
    <w:basedOn w:val="Normal"/>
    <w:link w:val="CommentTextChar"/>
    <w:uiPriority w:val="99"/>
    <w:semiHidden/>
    <w:rsid w:val="004935EF"/>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35EF"/>
    <w:rPr>
      <w:rFonts w:cs="Times New Roman"/>
      <w:sz w:val="20"/>
      <w:szCs w:val="20"/>
    </w:rPr>
  </w:style>
  <w:style w:type="paragraph" w:styleId="CommentSubject">
    <w:name w:val="annotation subject"/>
    <w:basedOn w:val="CommentText"/>
    <w:next w:val="CommentText"/>
    <w:link w:val="CommentSubjectChar"/>
    <w:uiPriority w:val="99"/>
    <w:semiHidden/>
    <w:rsid w:val="004935EF"/>
    <w:rPr>
      <w:b/>
      <w:bCs/>
    </w:rPr>
  </w:style>
  <w:style w:type="character" w:customStyle="1" w:styleId="CommentSubjectChar">
    <w:name w:val="Comment Subject Char"/>
    <w:basedOn w:val="CommentTextChar"/>
    <w:link w:val="CommentSubject"/>
    <w:uiPriority w:val="99"/>
    <w:semiHidden/>
    <w:locked/>
    <w:rsid w:val="004935EF"/>
    <w:rPr>
      <w:rFonts w:cs="Times New Roman"/>
      <w:b/>
      <w:bCs/>
      <w:sz w:val="20"/>
      <w:szCs w:val="20"/>
    </w:rPr>
  </w:style>
  <w:style w:type="paragraph" w:styleId="NormalWeb">
    <w:name w:val="Normal (Web)"/>
    <w:basedOn w:val="Normal"/>
    <w:uiPriority w:val="99"/>
    <w:rsid w:val="002F546B"/>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2F546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92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01C49"/>
    <w:pPr>
      <w:ind w:left="720"/>
      <w:contextualSpacing/>
    </w:pPr>
  </w:style>
  <w:style w:type="paragraph" w:styleId="FootnoteText">
    <w:name w:val="footnote text"/>
    <w:basedOn w:val="Normal"/>
    <w:link w:val="FootnoteTextChar"/>
    <w:uiPriority w:val="99"/>
    <w:semiHidden/>
    <w:rsid w:val="00F4351F"/>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F4351F"/>
    <w:rPr>
      <w:rFonts w:cs="Times New Roman"/>
      <w:sz w:val="20"/>
      <w:szCs w:val="20"/>
    </w:rPr>
  </w:style>
  <w:style w:type="character" w:styleId="FootnoteReference">
    <w:name w:val="footnote reference"/>
    <w:basedOn w:val="DefaultParagraphFont"/>
    <w:uiPriority w:val="99"/>
    <w:semiHidden/>
    <w:rsid w:val="00F4351F"/>
    <w:rPr>
      <w:rFonts w:cs="Times New Roman"/>
      <w:vertAlign w:val="superscript"/>
    </w:rPr>
  </w:style>
  <w:style w:type="character" w:styleId="Hyperlink">
    <w:name w:val="Hyperlink"/>
    <w:basedOn w:val="DefaultParagraphFont"/>
    <w:uiPriority w:val="99"/>
    <w:rsid w:val="00F4351F"/>
    <w:rPr>
      <w:rFonts w:cs="Times New Roman"/>
      <w:color w:val="0000FF"/>
      <w:u w:val="single"/>
    </w:rPr>
  </w:style>
  <w:style w:type="paragraph" w:styleId="BalloonText">
    <w:name w:val="Balloon Text"/>
    <w:basedOn w:val="Normal"/>
    <w:link w:val="BalloonTextChar"/>
    <w:uiPriority w:val="99"/>
    <w:semiHidden/>
    <w:rsid w:val="00A44D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44DA6"/>
    <w:rPr>
      <w:rFonts w:ascii="Tahoma" w:hAnsi="Tahoma" w:cs="Tahoma"/>
      <w:sz w:val="16"/>
      <w:szCs w:val="16"/>
    </w:rPr>
  </w:style>
  <w:style w:type="paragraph" w:styleId="Header">
    <w:name w:val="header"/>
    <w:basedOn w:val="Normal"/>
    <w:link w:val="HeaderChar"/>
    <w:uiPriority w:val="99"/>
    <w:semiHidden/>
    <w:rsid w:val="004935E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4935EF"/>
    <w:rPr>
      <w:rFonts w:cs="Times New Roman"/>
    </w:rPr>
  </w:style>
  <w:style w:type="paragraph" w:styleId="Footer">
    <w:name w:val="footer"/>
    <w:basedOn w:val="Normal"/>
    <w:link w:val="FooterChar"/>
    <w:uiPriority w:val="99"/>
    <w:rsid w:val="004935E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4935EF"/>
    <w:rPr>
      <w:rFonts w:cs="Times New Roman"/>
    </w:rPr>
  </w:style>
  <w:style w:type="character" w:styleId="CommentReference">
    <w:name w:val="annotation reference"/>
    <w:basedOn w:val="DefaultParagraphFont"/>
    <w:uiPriority w:val="99"/>
    <w:semiHidden/>
    <w:rsid w:val="004935EF"/>
    <w:rPr>
      <w:rFonts w:cs="Times New Roman"/>
      <w:sz w:val="16"/>
      <w:szCs w:val="16"/>
    </w:rPr>
  </w:style>
  <w:style w:type="paragraph" w:styleId="CommentText">
    <w:name w:val="annotation text"/>
    <w:basedOn w:val="Normal"/>
    <w:link w:val="CommentTextChar"/>
    <w:uiPriority w:val="99"/>
    <w:semiHidden/>
    <w:rsid w:val="004935EF"/>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35EF"/>
    <w:rPr>
      <w:rFonts w:cs="Times New Roman"/>
      <w:sz w:val="20"/>
      <w:szCs w:val="20"/>
    </w:rPr>
  </w:style>
  <w:style w:type="paragraph" w:styleId="CommentSubject">
    <w:name w:val="annotation subject"/>
    <w:basedOn w:val="CommentText"/>
    <w:next w:val="CommentText"/>
    <w:link w:val="CommentSubjectChar"/>
    <w:uiPriority w:val="99"/>
    <w:semiHidden/>
    <w:rsid w:val="004935EF"/>
    <w:rPr>
      <w:b/>
      <w:bCs/>
    </w:rPr>
  </w:style>
  <w:style w:type="character" w:customStyle="1" w:styleId="CommentSubjectChar">
    <w:name w:val="Comment Subject Char"/>
    <w:basedOn w:val="CommentTextChar"/>
    <w:link w:val="CommentSubject"/>
    <w:uiPriority w:val="99"/>
    <w:semiHidden/>
    <w:locked/>
    <w:rsid w:val="004935EF"/>
    <w:rPr>
      <w:rFonts w:cs="Times New Roman"/>
      <w:b/>
      <w:bCs/>
      <w:sz w:val="20"/>
      <w:szCs w:val="20"/>
    </w:rPr>
  </w:style>
  <w:style w:type="paragraph" w:styleId="NormalWeb">
    <w:name w:val="Normal (Web)"/>
    <w:basedOn w:val="Normal"/>
    <w:uiPriority w:val="99"/>
    <w:rsid w:val="002F546B"/>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2F546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81884">
      <w:bodyDiv w:val="1"/>
      <w:marLeft w:val="0"/>
      <w:marRight w:val="0"/>
      <w:marTop w:val="0"/>
      <w:marBottom w:val="0"/>
      <w:divBdr>
        <w:top w:val="none" w:sz="0" w:space="0" w:color="auto"/>
        <w:left w:val="none" w:sz="0" w:space="0" w:color="auto"/>
        <w:bottom w:val="none" w:sz="0" w:space="0" w:color="auto"/>
        <w:right w:val="none" w:sz="0" w:space="0" w:color="auto"/>
      </w:divBdr>
    </w:div>
    <w:div w:id="265583878">
      <w:bodyDiv w:val="1"/>
      <w:marLeft w:val="0"/>
      <w:marRight w:val="0"/>
      <w:marTop w:val="0"/>
      <w:marBottom w:val="0"/>
      <w:divBdr>
        <w:top w:val="none" w:sz="0" w:space="0" w:color="auto"/>
        <w:left w:val="none" w:sz="0" w:space="0" w:color="auto"/>
        <w:bottom w:val="none" w:sz="0" w:space="0" w:color="auto"/>
        <w:right w:val="none" w:sz="0" w:space="0" w:color="auto"/>
      </w:divBdr>
    </w:div>
    <w:div w:id="525141363">
      <w:marLeft w:val="0"/>
      <w:marRight w:val="0"/>
      <w:marTop w:val="0"/>
      <w:marBottom w:val="0"/>
      <w:divBdr>
        <w:top w:val="none" w:sz="0" w:space="0" w:color="auto"/>
        <w:left w:val="none" w:sz="0" w:space="0" w:color="auto"/>
        <w:bottom w:val="none" w:sz="0" w:space="0" w:color="auto"/>
        <w:right w:val="none" w:sz="0" w:space="0" w:color="auto"/>
      </w:divBdr>
    </w:div>
    <w:div w:id="105338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2AAE8-EA6E-4FA0-AA04-7F9C3840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Pages>
  <Words>687</Words>
  <Characters>3920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Comments of the Natural Resources Defense Council (NRDC) on Energy Efficiency Goals, Potential, and Targets Scoping Plan</vt:lpstr>
    </vt:vector>
  </TitlesOfParts>
  <Company>Microsoft</Company>
  <LinksUpToDate>false</LinksUpToDate>
  <CharactersWithSpaces>4598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of the Natural Resources Defense Council (NRDC) on Energy Efficiency Goals, Potential, and Targets Scoping Plan</dc:title>
  <dc:creator>Amanda Gonzalez</dc:creator>
  <cp:lastModifiedBy>Chhabra, Mohit</cp:lastModifiedBy>
  <cp:revision>12</cp:revision>
  <cp:lastPrinted>2011-08-11T23:55:00Z</cp:lastPrinted>
  <dcterms:created xsi:type="dcterms:W3CDTF">2017-04-28T22:29:00Z</dcterms:created>
  <dcterms:modified xsi:type="dcterms:W3CDTF">2017-05-01T23:02:00Z</dcterms:modified>
</cp:coreProperties>
</file>